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21" w:rsidRPr="00313D21" w:rsidRDefault="00313D21" w:rsidP="00313D2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E6"/>
        </w:rPr>
      </w:pPr>
      <w:r w:rsidRPr="00313D2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E6"/>
        </w:rPr>
        <w:t>«Свобода мнений. Профилактика экстремизма»</w:t>
      </w:r>
    </w:p>
    <w:p w:rsidR="005112C8" w:rsidRPr="005E6388" w:rsidRDefault="005E638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1501140</wp:posOffset>
            </wp:positionV>
            <wp:extent cx="2314575" cy="1600200"/>
            <wp:effectExtent l="19050" t="0" r="9525" b="0"/>
            <wp:wrapThrough wrapText="bothSides">
              <wp:wrapPolygon edited="0">
                <wp:start x="-178" y="0"/>
                <wp:lineTo x="-178" y="21343"/>
                <wp:lineTo x="21689" y="21343"/>
                <wp:lineTo x="21689" y="0"/>
                <wp:lineTo x="-178" y="0"/>
              </wp:wrapPolygon>
            </wp:wrapThrough>
            <wp:docPr id="1" name="Рисунок 1" descr="C:\Users\hp\Desktop\лекции\deti_5_w300_h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лекции\deti_5_w300_h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t>Свобода выражения является важнейшей составляющей демократических прав и свобод. На самом первом заседании Генеральной Ассамбл</w:t>
      </w:r>
      <w:proofErr w:type="gramStart"/>
      <w:r w:rsidR="005112C8" w:rsidRPr="00313D21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t>еи ОО</w:t>
      </w:r>
      <w:proofErr w:type="gramEnd"/>
      <w:r w:rsidR="005112C8" w:rsidRPr="00313D21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t>Н в 1946 году, прежде чем были подписаны основные международные соглашения и договоренности по правам человека, была принята резолюция № 59 (1), в которой отмечалось: «Свобода информации является основополагающим правом человека и … критерием всех свобод, которые находятся под юрисдикцией Организации Объединенных Наций».</w:t>
      </w:r>
      <w:r w:rsidRPr="005E63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F3B00" w:rsidRPr="00313D21" w:rsidRDefault="005112C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</w:pPr>
      <w:r w:rsidRPr="00313D21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t>Право на свободу выражения подразумевает под собой свободу каждого выражать свои взгляды и мнения в открытой форме. Очевидно, что это право, должно соблюдаться повсеместно, учитывая его решающую роль в построении демократии и гарантии общественного участия в политической жизни страны. Следует отметить, однако, что существуют определенные крайние формы выражения мнения, которые необходимо пресекать во имя защиты других прав человека. Ограничения, налагаемые на свободу выражения в таких ситуациях, являются необходимой и оправданной мерой. Примером такой крайней формы выражения мнения могут служить «речи ненависти», использование которых запрещено в ряде стран.</w:t>
      </w:r>
    </w:p>
    <w:p w:rsidR="005112C8" w:rsidRPr="00313D21" w:rsidRDefault="005E638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1080770</wp:posOffset>
            </wp:positionV>
            <wp:extent cx="2200275" cy="1638300"/>
            <wp:effectExtent l="19050" t="0" r="9525" b="0"/>
            <wp:wrapThrough wrapText="bothSides">
              <wp:wrapPolygon edited="0">
                <wp:start x="-187" y="0"/>
                <wp:lineTo x="-187" y="21349"/>
                <wp:lineTo x="21694" y="21349"/>
                <wp:lineTo x="21694" y="0"/>
                <wp:lineTo x="-187" y="0"/>
              </wp:wrapPolygon>
            </wp:wrapThrough>
            <wp:docPr id="2" name="Рисунок 2" descr="http://img.lady.ru/data/aphoto/c/8/3/37200/main/b3933eb2c2927e3f93f44f40da0ea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lady.ru/data/aphoto/c/8/3/37200/main/b3933eb2c2927e3f93f44f40da0ea0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27" t="5930" r="2545" b="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t>Разные группы людей могут придерживаться различных точек зрения по одному вопросу, что провоцирует чувства ненависти и нетерпения между представителями этих групп. С этой проблемой и связан вопрос о том, следует ли налагать официальный запрет на использование «речей ненависти». В некоторых странах были приняты законы о «речах ненависти» с целью лишения этого способа выражения законной силы. Существует очень тонкая грань между соблюдением права на свободу выражения и, в тоже время, гарантией основополагающих прав и свобод человека. Успех запретительных законов зачастую является сомнительным. Одним из их последствий может стать, например, приобретение «речами ненависти» статуса альтернативного способа выражения. Безусловно, крайние формы «речей ненависти» должны быть запрещены и не должны использоваться на государственном уровне. В то же время необходимо содействовать плюрализму в СМИ и предоставлять возможность артикуляции противоположной точки зрения.</w:t>
      </w:r>
      <w:r w:rsidRPr="005E6388">
        <w:t xml:space="preserve"> </w:t>
      </w:r>
    </w:p>
    <w:p w:rsidR="005112C8" w:rsidRPr="00313D21" w:rsidRDefault="005112C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 xml:space="preserve">В разных странах и в разные времена было дано много разных юридических и научных определений понятию "экстремизм". Единого определения на сегодняшний день не существует. Большой толковый словарь дает следующее определение экстремизму: </w:t>
      </w:r>
      <w:r w:rsidRPr="00313D21">
        <w:rPr>
          <w:rFonts w:ascii="Times New Roman" w:hAnsi="Times New Roman" w:cs="Times New Roman"/>
          <w:sz w:val="24"/>
          <w:szCs w:val="24"/>
        </w:rPr>
        <w:lastRenderedPageBreak/>
        <w:t xml:space="preserve">экстремизм – это приверженность крайним взглядам и мерам. Однако оно не отражает сути этого явления. Обычно, одни экстремистские действия некоторыми людьми рассматриваются как справедливые и добродетельные (например, </w:t>
      </w:r>
      <w:proofErr w:type="spellStart"/>
      <w:r w:rsidRPr="00313D21">
        <w:rPr>
          <w:rFonts w:ascii="Times New Roman" w:hAnsi="Times New Roman" w:cs="Times New Roman"/>
          <w:sz w:val="24"/>
          <w:szCs w:val="24"/>
        </w:rPr>
        <w:t>просоциальная</w:t>
      </w:r>
      <w:proofErr w:type="spellEnd"/>
      <w:r w:rsidRPr="00313D21">
        <w:rPr>
          <w:rFonts w:ascii="Times New Roman" w:hAnsi="Times New Roman" w:cs="Times New Roman"/>
          <w:sz w:val="24"/>
          <w:szCs w:val="24"/>
        </w:rPr>
        <w:t xml:space="preserve"> "борьба за </w:t>
      </w:r>
      <w:r w:rsidR="005E63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1045845</wp:posOffset>
            </wp:positionV>
            <wp:extent cx="1400175" cy="1676400"/>
            <wp:effectExtent l="19050" t="0" r="9525" b="0"/>
            <wp:wrapThrough wrapText="bothSides">
              <wp:wrapPolygon edited="0">
                <wp:start x="1176" y="0"/>
                <wp:lineTo x="-294" y="1718"/>
                <wp:lineTo x="-294" y="19636"/>
                <wp:lineTo x="588" y="21355"/>
                <wp:lineTo x="1176" y="21355"/>
                <wp:lineTo x="20278" y="21355"/>
                <wp:lineTo x="20865" y="21355"/>
                <wp:lineTo x="21747" y="20373"/>
                <wp:lineTo x="21747" y="1718"/>
                <wp:lineTo x="21159" y="245"/>
                <wp:lineTo x="20278" y="0"/>
                <wp:lineTo x="1176" y="0"/>
              </wp:wrapPolygon>
            </wp:wrapThrough>
            <wp:docPr id="5" name="Рисунок 5" descr="http://www.ural-mvd.ru/uploaded/pics/ek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ral-mvd.ru/uploaded/pics/ek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13D21">
        <w:rPr>
          <w:rFonts w:ascii="Times New Roman" w:hAnsi="Times New Roman" w:cs="Times New Roman"/>
          <w:sz w:val="24"/>
          <w:szCs w:val="24"/>
        </w:rPr>
        <w:t>свободу"), а другие экстремистские действия – как несправедливые и аморальные (</w:t>
      </w:r>
      <w:proofErr w:type="spellStart"/>
      <w:r w:rsidRPr="00313D21">
        <w:rPr>
          <w:rFonts w:ascii="Times New Roman" w:hAnsi="Times New Roman" w:cs="Times New Roman"/>
          <w:sz w:val="24"/>
          <w:szCs w:val="24"/>
        </w:rPr>
        <w:t>антисоциальный</w:t>
      </w:r>
      <w:proofErr w:type="spellEnd"/>
      <w:r w:rsidRPr="00313D21">
        <w:rPr>
          <w:rFonts w:ascii="Times New Roman" w:hAnsi="Times New Roman" w:cs="Times New Roman"/>
          <w:sz w:val="24"/>
          <w:szCs w:val="24"/>
        </w:rPr>
        <w:t xml:space="preserve"> "терроризм"). Это зависит от ценностей, политических убеждений, нравственных ограничений </w:t>
      </w:r>
      <w:proofErr w:type="gramStart"/>
      <w:r w:rsidRPr="00313D21">
        <w:rPr>
          <w:rFonts w:ascii="Times New Roman" w:hAnsi="Times New Roman" w:cs="Times New Roman"/>
          <w:sz w:val="24"/>
          <w:szCs w:val="24"/>
        </w:rPr>
        <w:t>оценивающего</w:t>
      </w:r>
      <w:proofErr w:type="gramEnd"/>
      <w:r w:rsidRPr="00313D21">
        <w:rPr>
          <w:rFonts w:ascii="Times New Roman" w:hAnsi="Times New Roman" w:cs="Times New Roman"/>
          <w:sz w:val="24"/>
          <w:szCs w:val="24"/>
        </w:rPr>
        <w:t>, а так же от его отношений с деятелем.</w:t>
      </w:r>
    </w:p>
    <w:p w:rsidR="005112C8" w:rsidRPr="00313D21" w:rsidRDefault="005112C8" w:rsidP="00313D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В российском законодательстве, а конкретно в Федеральном Законе от 25 июля 2002 г. N 114-ФЗ "О противодействии экстремистской деятельности", понятие "экстремистская деятельность (экстремизм)" раскрывается как: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насильственное изменение основ конституционного строя и нарушение целостности Российской Федерации;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публичное оправдание терроризма и иная террористическая деятельность;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возбуждение социальной, расовой, национальной или религиозной розни;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5112C8" w:rsidRPr="00313D21" w:rsidRDefault="005E638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553085</wp:posOffset>
            </wp:positionV>
            <wp:extent cx="2385695" cy="2019300"/>
            <wp:effectExtent l="19050" t="0" r="0" b="0"/>
            <wp:wrapThrough wrapText="bothSides">
              <wp:wrapPolygon edited="0">
                <wp:start x="-172" y="0"/>
                <wp:lineTo x="-172" y="21396"/>
                <wp:lineTo x="21560" y="21396"/>
                <wp:lineTo x="21560" y="0"/>
                <wp:lineTo x="-172" y="0"/>
              </wp:wrapPolygon>
            </wp:wrapThrough>
            <wp:docPr id="8" name="Рисунок 8" descr="C:\Users\hp\Desktop\лекции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лекции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sz w:val="24"/>
          <w:szCs w:val="24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="005E6388" w:rsidRPr="005E63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313D21">
        <w:rPr>
          <w:rFonts w:ascii="Times New Roman" w:hAnsi="Times New Roman" w:cs="Times New Roman"/>
          <w:sz w:val="24"/>
          <w:szCs w:val="24"/>
        </w:rPr>
        <w:t>сходных</w:t>
      </w:r>
      <w:proofErr w:type="gramEnd"/>
      <w:r w:rsidRPr="00313D21">
        <w:rPr>
          <w:rFonts w:ascii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lastRenderedPageBreak/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5112C8" w:rsidRPr="00313D21" w:rsidRDefault="005112C8" w:rsidP="00313D21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организация и подготовка указанных деяний, а также подстрекательство к их осуществлению;</w:t>
      </w:r>
    </w:p>
    <w:p w:rsidR="005112C8" w:rsidRPr="00313D21" w:rsidRDefault="005E6388" w:rsidP="00313D21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1021080</wp:posOffset>
            </wp:positionV>
            <wp:extent cx="2171700" cy="2085975"/>
            <wp:effectExtent l="19050" t="0" r="0" b="0"/>
            <wp:wrapThrough wrapText="bothSides">
              <wp:wrapPolygon edited="0">
                <wp:start x="-189" y="0"/>
                <wp:lineTo x="-189" y="21501"/>
                <wp:lineTo x="21600" y="21501"/>
                <wp:lineTo x="21600" y="0"/>
                <wp:lineTo x="-189" y="0"/>
              </wp:wrapPolygon>
            </wp:wrapThrough>
            <wp:docPr id="9" name="Рисунок 9" descr="http://news.vin.com.ua/sites/default/files/styles/large/public/field/image/1022788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s.vin.com.ua/sites/default/files/styles/large/public/field/image/10227883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50" t="2392" r="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sz w:val="24"/>
          <w:szCs w:val="24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5112C8" w:rsidRPr="00313D21" w:rsidRDefault="005112C8" w:rsidP="00313D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>В настоящее время существует пять основных психопрофилактических подходов к предупреждению проявлений экстремизма:</w:t>
      </w:r>
    </w:p>
    <w:p w:rsidR="005112C8" w:rsidRPr="00313D21" w:rsidRDefault="00313D21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5112C8" w:rsidRPr="00313D21">
        <w:rPr>
          <w:rFonts w:ascii="Times New Roman" w:hAnsi="Times New Roman" w:cs="Times New Roman"/>
          <w:i/>
          <w:sz w:val="24"/>
          <w:szCs w:val="24"/>
        </w:rPr>
        <w:t>Подход, основанный на распространении информации об экстремизме и</w:t>
      </w:r>
      <w:r w:rsidR="005112C8" w:rsidRPr="00313D21">
        <w:rPr>
          <w:rFonts w:ascii="Times New Roman" w:hAnsi="Times New Roman" w:cs="Times New Roman"/>
          <w:sz w:val="24"/>
          <w:szCs w:val="24"/>
        </w:rPr>
        <w:t xml:space="preserve"> организациях экстремистского толка.</w:t>
      </w:r>
    </w:p>
    <w:p w:rsidR="005112C8" w:rsidRPr="00313D21" w:rsidRDefault="005112C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 xml:space="preserve">Данный подход является наиболее распространенным типом превентивных стратегий. Он базируется на предоставлении информации об экстремистских организациях и об опасности их религиозных, националистических, политических идей, приведении </w:t>
      </w:r>
      <w:proofErr w:type="gramStart"/>
      <w:r w:rsidRPr="00313D21">
        <w:rPr>
          <w:rFonts w:ascii="Times New Roman" w:hAnsi="Times New Roman" w:cs="Times New Roman"/>
          <w:sz w:val="24"/>
          <w:szCs w:val="24"/>
        </w:rPr>
        <w:t>фактов о</w:t>
      </w:r>
      <w:proofErr w:type="gramEnd"/>
      <w:r w:rsidRPr="00313D21">
        <w:rPr>
          <w:rFonts w:ascii="Times New Roman" w:hAnsi="Times New Roman" w:cs="Times New Roman"/>
          <w:sz w:val="24"/>
          <w:szCs w:val="24"/>
        </w:rPr>
        <w:t xml:space="preserve"> жизненных трудностях, ситуациях и мотивах членов данных организаций.</w:t>
      </w:r>
    </w:p>
    <w:p w:rsidR="005112C8" w:rsidRPr="00313D21" w:rsidRDefault="00313D21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5112C8" w:rsidRPr="00313D21">
        <w:rPr>
          <w:rFonts w:ascii="Times New Roman" w:hAnsi="Times New Roman" w:cs="Times New Roman"/>
          <w:i/>
          <w:sz w:val="24"/>
          <w:szCs w:val="24"/>
        </w:rPr>
        <w:t>Подход, основанный на аффективном обучении.</w:t>
      </w:r>
    </w:p>
    <w:p w:rsidR="005112C8" w:rsidRPr="00313D21" w:rsidRDefault="005E638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1244600</wp:posOffset>
            </wp:positionV>
            <wp:extent cx="2362200" cy="1876425"/>
            <wp:effectExtent l="19050" t="0" r="0" b="0"/>
            <wp:wrapThrough wrapText="bothSides">
              <wp:wrapPolygon edited="0">
                <wp:start x="-174" y="0"/>
                <wp:lineTo x="-174" y="21490"/>
                <wp:lineTo x="21600" y="21490"/>
                <wp:lineTo x="21600" y="0"/>
                <wp:lineTo x="-174" y="0"/>
              </wp:wrapPolygon>
            </wp:wrapThrough>
            <wp:docPr id="12" name="Рисунок 12" descr="http://thumbs.dreamstime.com/z/caracteres-de-la-charla-3d-979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humbs.dreamstime.com/z/caracteres-de-la-charla-3d-97932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846" t="9846" r="14359" b="2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sz w:val="24"/>
          <w:szCs w:val="24"/>
        </w:rPr>
        <w:t xml:space="preserve">В основе этого подхода лежит теоретическое положение о том, что проявлять нетерпимость к "другим" начинают, прежде всего, люди с недостаточно развитой эмоциональной сферой, воспитанные в семьях, где существовал запрет на выражение эмоций. Аффективное (интенсивное эмоциональное) обучение базируется на понимании того, что нетерпимость чаще развивается у личностей с трудностями в определении и выражении эмоций, имеющих так называемые </w:t>
      </w:r>
      <w:proofErr w:type="spellStart"/>
      <w:r w:rsidR="005112C8" w:rsidRPr="00313D21">
        <w:rPr>
          <w:rFonts w:ascii="Times New Roman" w:hAnsi="Times New Roman" w:cs="Times New Roman"/>
          <w:sz w:val="24"/>
          <w:szCs w:val="24"/>
        </w:rPr>
        <w:t>ин</w:t>
      </w:r>
      <w:r w:rsidR="002750A0">
        <w:rPr>
          <w:rFonts w:ascii="Times New Roman" w:hAnsi="Times New Roman" w:cs="Times New Roman"/>
          <w:sz w:val="24"/>
          <w:szCs w:val="24"/>
        </w:rPr>
        <w:t>терперсональные</w:t>
      </w:r>
      <w:proofErr w:type="spellEnd"/>
      <w:r w:rsidR="002750A0">
        <w:rPr>
          <w:rFonts w:ascii="Times New Roman" w:hAnsi="Times New Roman" w:cs="Times New Roman"/>
          <w:sz w:val="24"/>
          <w:szCs w:val="24"/>
        </w:rPr>
        <w:t xml:space="preserve"> факторы риска – </w:t>
      </w:r>
      <w:r w:rsidR="005112C8" w:rsidRPr="00313D21">
        <w:rPr>
          <w:rFonts w:ascii="Times New Roman" w:hAnsi="Times New Roman" w:cs="Times New Roman"/>
          <w:sz w:val="24"/>
          <w:szCs w:val="24"/>
        </w:rPr>
        <w:t>низкую самооценку, неразвитую способность к сопереживанию (</w:t>
      </w:r>
      <w:proofErr w:type="spellStart"/>
      <w:r w:rsidR="005112C8" w:rsidRPr="00313D21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="005112C8" w:rsidRPr="00313D21">
        <w:rPr>
          <w:rFonts w:ascii="Times New Roman" w:hAnsi="Times New Roman" w:cs="Times New Roman"/>
          <w:sz w:val="24"/>
          <w:szCs w:val="24"/>
        </w:rPr>
        <w:t>). В связи с этим у них не формируется умение накапливать собственный и чужой опыт переживаний, не развиваются навыки принятия решений в сложных стрессовых ситуациях.</w:t>
      </w:r>
      <w:r w:rsidRPr="005E6388">
        <w:t xml:space="preserve"> </w:t>
      </w:r>
    </w:p>
    <w:p w:rsidR="005112C8" w:rsidRPr="00313D21" w:rsidRDefault="00313D21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5112C8" w:rsidRPr="00313D21">
        <w:rPr>
          <w:rFonts w:ascii="Times New Roman" w:hAnsi="Times New Roman" w:cs="Times New Roman"/>
          <w:i/>
          <w:sz w:val="24"/>
          <w:szCs w:val="24"/>
        </w:rPr>
        <w:t>Подход, основанный на влиянии социальных факторов.</w:t>
      </w:r>
    </w:p>
    <w:p w:rsidR="005112C8" w:rsidRPr="00313D21" w:rsidRDefault="002750A0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1769745</wp:posOffset>
            </wp:positionV>
            <wp:extent cx="1704975" cy="1885950"/>
            <wp:effectExtent l="19050" t="0" r="9525" b="0"/>
            <wp:wrapThrough wrapText="bothSides">
              <wp:wrapPolygon edited="0">
                <wp:start x="-241" y="0"/>
                <wp:lineTo x="-241" y="21382"/>
                <wp:lineTo x="21721" y="21382"/>
                <wp:lineTo x="21721" y="0"/>
                <wp:lineTo x="-241" y="0"/>
              </wp:wrapPolygon>
            </wp:wrapThrough>
            <wp:docPr id="15" name="Рисунок 15" descr="http://startdeutsch.ru/images/pictures/raised-hands-290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rtdeutsch.ru/images/pictures/raised-hands-290x2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241" t="5862" r="6552" b="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sz w:val="24"/>
          <w:szCs w:val="24"/>
        </w:rPr>
        <w:t>Данный подход базируется на понимании того, что влияние сверстников и семьи играет важную роль, способствуя или препятствуя зарождению экстремистских идей. С точки зрения данного подхода важнейшим фактором развития человека является социальная среда как источник обратной связи, поощрений и наказаний. В связи с этим подчеркивается важность социально ориентированной интервенции, представляющей собой специальные программы для родителей, или программы, направленные на предотвращение возможного социального давления экстремистской среды.</w:t>
      </w:r>
    </w:p>
    <w:p w:rsidR="005112C8" w:rsidRPr="00313D21" w:rsidRDefault="00313D21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5112C8" w:rsidRPr="00313D21">
        <w:rPr>
          <w:rFonts w:ascii="Times New Roman" w:hAnsi="Times New Roman" w:cs="Times New Roman"/>
          <w:i/>
          <w:sz w:val="24"/>
          <w:szCs w:val="24"/>
        </w:rPr>
        <w:t>Подход, основанный на формировании жизненных навыков</w:t>
      </w:r>
      <w:r w:rsidRPr="00313D21">
        <w:rPr>
          <w:rFonts w:ascii="Times New Roman" w:hAnsi="Times New Roman" w:cs="Times New Roman"/>
          <w:i/>
          <w:sz w:val="24"/>
          <w:szCs w:val="24"/>
        </w:rPr>
        <w:t>.</w:t>
      </w:r>
    </w:p>
    <w:p w:rsidR="005112C8" w:rsidRPr="00313D21" w:rsidRDefault="005112C8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D21">
        <w:rPr>
          <w:rFonts w:ascii="Times New Roman" w:hAnsi="Times New Roman" w:cs="Times New Roman"/>
          <w:sz w:val="24"/>
          <w:szCs w:val="24"/>
        </w:rPr>
        <w:t xml:space="preserve">В данном подходе центральным является понятие об изменении поведения, поэтому в нем используются преимущественно методы поведенческой модификации. Основу этого направления составляет теория социального </w:t>
      </w:r>
      <w:proofErr w:type="spellStart"/>
      <w:r w:rsidRPr="00313D21">
        <w:rPr>
          <w:rFonts w:ascii="Times New Roman" w:hAnsi="Times New Roman" w:cs="Times New Roman"/>
          <w:sz w:val="24"/>
          <w:szCs w:val="24"/>
        </w:rPr>
        <w:t>научения</w:t>
      </w:r>
      <w:proofErr w:type="spellEnd"/>
      <w:r w:rsidRPr="00313D21">
        <w:rPr>
          <w:rFonts w:ascii="Times New Roman" w:hAnsi="Times New Roman" w:cs="Times New Roman"/>
          <w:sz w:val="24"/>
          <w:szCs w:val="24"/>
        </w:rPr>
        <w:t xml:space="preserve"> Бандуры (</w:t>
      </w:r>
      <w:proofErr w:type="spellStart"/>
      <w:r w:rsidRPr="00313D21">
        <w:rPr>
          <w:rFonts w:ascii="Times New Roman" w:hAnsi="Times New Roman" w:cs="Times New Roman"/>
          <w:sz w:val="24"/>
          <w:szCs w:val="24"/>
        </w:rPr>
        <w:t>Bandura</w:t>
      </w:r>
      <w:proofErr w:type="spellEnd"/>
      <w:r w:rsidRPr="00313D21">
        <w:rPr>
          <w:rFonts w:ascii="Times New Roman" w:hAnsi="Times New Roman" w:cs="Times New Roman"/>
          <w:sz w:val="24"/>
          <w:szCs w:val="24"/>
        </w:rPr>
        <w:t xml:space="preserve"> A., 1969).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целей.</w:t>
      </w:r>
    </w:p>
    <w:p w:rsidR="005112C8" w:rsidRPr="00313D21" w:rsidRDefault="00313D21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5112C8" w:rsidRPr="00313D21">
        <w:rPr>
          <w:rFonts w:ascii="Times New Roman" w:hAnsi="Times New Roman" w:cs="Times New Roman"/>
          <w:i/>
          <w:sz w:val="24"/>
          <w:szCs w:val="24"/>
        </w:rPr>
        <w:t>Подход, основанный на развитии деятельности, альтернативной экстремистской</w:t>
      </w:r>
      <w:r w:rsidRPr="00313D21">
        <w:rPr>
          <w:rFonts w:ascii="Times New Roman" w:hAnsi="Times New Roman" w:cs="Times New Roman"/>
          <w:i/>
          <w:sz w:val="24"/>
          <w:szCs w:val="24"/>
        </w:rPr>
        <w:t>.</w:t>
      </w:r>
    </w:p>
    <w:p w:rsidR="005112C8" w:rsidRDefault="002750A0" w:rsidP="002750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1238250</wp:posOffset>
            </wp:positionH>
            <wp:positionV relativeFrom="paragraph">
              <wp:posOffset>1572260</wp:posOffset>
            </wp:positionV>
            <wp:extent cx="3328035" cy="1533525"/>
            <wp:effectExtent l="19050" t="0" r="5715" b="0"/>
            <wp:wrapThrough wrapText="bothSides">
              <wp:wrapPolygon edited="0">
                <wp:start x="-124" y="0"/>
                <wp:lineTo x="-124" y="21466"/>
                <wp:lineTo x="21637" y="21466"/>
                <wp:lineTo x="21637" y="0"/>
                <wp:lineTo x="-124" y="0"/>
              </wp:wrapPolygon>
            </wp:wrapThrough>
            <wp:docPr id="18" name="Рисунок 18" descr="http://neuezeiten.rusverlag.de/wp-content/uploads/2013/10/%C2%A9-tribalium81-Fotolia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euezeiten.rusverlag.de/wp-content/uploads/2013/10/%C2%A9-tribalium81-Fotolia.com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313D21">
        <w:rPr>
          <w:rFonts w:ascii="Times New Roman" w:hAnsi="Times New Roman" w:cs="Times New Roman"/>
          <w:sz w:val="24"/>
          <w:szCs w:val="24"/>
        </w:rPr>
        <w:t>Этот подход предполагает необходимость развития альтернативных социальных программ для молодежи, в которых могли бы быть в социально нормативных рамках реализованы стремление к риску, поиск острых ощущений, повышенная поведенческая активность, столь свойственные молодым. Данное направление является попыткой развития специфической активности с целью уменьшить риск проявления экстремистской агрессии.</w:t>
      </w:r>
    </w:p>
    <w:p w:rsidR="002750A0" w:rsidRDefault="002750A0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50A0" w:rsidRPr="00313D21" w:rsidRDefault="002750A0" w:rsidP="00313D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750A0" w:rsidRPr="00313D21" w:rsidSect="00313D21">
      <w:pgSz w:w="11906" w:h="16838"/>
      <w:pgMar w:top="993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0AC4"/>
    <w:multiLevelType w:val="hybridMultilevel"/>
    <w:tmpl w:val="67D24F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2C8"/>
    <w:rsid w:val="002750A0"/>
    <w:rsid w:val="002D1531"/>
    <w:rsid w:val="00313D21"/>
    <w:rsid w:val="004F3B00"/>
    <w:rsid w:val="005112C8"/>
    <w:rsid w:val="00542431"/>
    <w:rsid w:val="005E6388"/>
    <w:rsid w:val="00A35F00"/>
    <w:rsid w:val="00B17F0B"/>
    <w:rsid w:val="00EC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2014-10-20T06:21:00Z</dcterms:created>
  <dcterms:modified xsi:type="dcterms:W3CDTF">2014-10-20T08:48:00Z</dcterms:modified>
</cp:coreProperties>
</file>